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D390B" w14:textId="7993E69C" w:rsidR="00D83C1E" w:rsidRPr="004F08EF" w:rsidRDefault="00FF4166" w:rsidP="00B83310">
      <w:pPr>
        <w:pStyle w:val="NoSpacing"/>
        <w:jc w:val="center"/>
        <w:rPr>
          <w:rFonts w:cstheme="minorHAnsi"/>
          <w:b/>
          <w:bCs/>
          <w:sz w:val="22"/>
          <w:szCs w:val="22"/>
          <w:u w:val="single"/>
        </w:rPr>
      </w:pPr>
      <w:bookmarkStart w:id="0" w:name="_GoBack"/>
      <w:bookmarkEnd w:id="0"/>
      <w:r w:rsidRPr="004F08EF">
        <w:rPr>
          <w:rFonts w:cstheme="minorHAnsi"/>
          <w:b/>
          <w:bCs/>
          <w:sz w:val="22"/>
          <w:szCs w:val="22"/>
          <w:u w:val="single"/>
        </w:rPr>
        <w:t>Follow-up to the High-Level Meeting and Political Declaration on Universal Health Coverage</w:t>
      </w:r>
    </w:p>
    <w:p w14:paraId="15F22973" w14:textId="77777777" w:rsidR="00D83C1E" w:rsidRPr="004F08EF" w:rsidRDefault="00D83C1E" w:rsidP="00A77A0A">
      <w:pPr>
        <w:pStyle w:val="NoSpacing"/>
        <w:jc w:val="both"/>
        <w:rPr>
          <w:rFonts w:cstheme="minorHAnsi"/>
          <w:b/>
          <w:bCs/>
          <w:i/>
          <w:iCs/>
          <w:sz w:val="22"/>
          <w:szCs w:val="22"/>
        </w:rPr>
      </w:pPr>
    </w:p>
    <w:p w14:paraId="062CDB13" w14:textId="77777777" w:rsidR="004B1175" w:rsidRPr="004F08EF" w:rsidRDefault="004B1175" w:rsidP="00A77A0A">
      <w:pPr>
        <w:pStyle w:val="NoSpacing"/>
        <w:spacing w:after="60"/>
        <w:jc w:val="both"/>
        <w:rPr>
          <w:rFonts w:cstheme="minorHAnsi"/>
          <w:b/>
          <w:bCs/>
          <w:iCs/>
          <w:sz w:val="22"/>
          <w:szCs w:val="22"/>
        </w:rPr>
      </w:pPr>
      <w:r w:rsidRPr="004F08EF">
        <w:rPr>
          <w:rFonts w:cstheme="minorHAnsi"/>
          <w:b/>
          <w:bCs/>
          <w:iCs/>
          <w:sz w:val="22"/>
          <w:szCs w:val="22"/>
        </w:rPr>
        <w:t>Background</w:t>
      </w:r>
    </w:p>
    <w:p w14:paraId="01DD2785" w14:textId="14BCC385" w:rsidR="001C0331" w:rsidRPr="004F08EF" w:rsidRDefault="001C0331" w:rsidP="00A77A0A">
      <w:pPr>
        <w:pStyle w:val="NoSpacing"/>
        <w:jc w:val="both"/>
        <w:rPr>
          <w:color w:val="000000" w:themeColor="text1"/>
          <w:sz w:val="22"/>
          <w:szCs w:val="22"/>
        </w:rPr>
      </w:pPr>
      <w:r w:rsidRPr="004F08EF">
        <w:rPr>
          <w:color w:val="000000" w:themeColor="text1"/>
          <w:sz w:val="22"/>
          <w:szCs w:val="22"/>
        </w:rPr>
        <w:t>The integrated and indivisible nature of the SDGs reflect an evolving understanding of health as determinant, outcome and indicator of sustainable development – and a shift towards a more holistic vision of health and wellbeing. The system which supports the advancement of national health outcomes is, thus, at an inflection point. In contrast to the MDG era</w:t>
      </w:r>
      <w:r w:rsidR="004F08EF">
        <w:rPr>
          <w:color w:val="000000" w:themeColor="text1"/>
          <w:sz w:val="22"/>
          <w:szCs w:val="22"/>
        </w:rPr>
        <w:t>,</w:t>
      </w:r>
      <w:r w:rsidRPr="004F08EF">
        <w:rPr>
          <w:color w:val="000000" w:themeColor="text1"/>
          <w:sz w:val="22"/>
          <w:szCs w:val="22"/>
        </w:rPr>
        <w:t xml:space="preserve"> which focused on </w:t>
      </w:r>
      <w:r w:rsidRPr="004F08EF">
        <w:rPr>
          <w:i/>
          <w:iCs/>
          <w:color w:val="000000" w:themeColor="text1"/>
          <w:sz w:val="22"/>
          <w:szCs w:val="22"/>
        </w:rPr>
        <w:t>delineation</w:t>
      </w:r>
      <w:r w:rsidRPr="004F08EF">
        <w:rPr>
          <w:color w:val="000000" w:themeColor="text1"/>
          <w:sz w:val="22"/>
          <w:szCs w:val="22"/>
        </w:rPr>
        <w:t xml:space="preserve"> and </w:t>
      </w:r>
      <w:r w:rsidRPr="004F08EF">
        <w:rPr>
          <w:i/>
          <w:iCs/>
          <w:color w:val="000000" w:themeColor="text1"/>
          <w:sz w:val="22"/>
          <w:szCs w:val="22"/>
        </w:rPr>
        <w:t>division</w:t>
      </w:r>
      <w:r w:rsidRPr="004F08EF">
        <w:rPr>
          <w:color w:val="000000" w:themeColor="text1"/>
          <w:sz w:val="22"/>
          <w:szCs w:val="22"/>
        </w:rPr>
        <w:t xml:space="preserve"> of responsibility, the SDGs require that approaches to health seek </w:t>
      </w:r>
      <w:r w:rsidRPr="004F08EF">
        <w:rPr>
          <w:i/>
          <w:iCs/>
          <w:color w:val="000000" w:themeColor="text1"/>
          <w:sz w:val="22"/>
          <w:szCs w:val="22"/>
        </w:rPr>
        <w:t>synergies</w:t>
      </w:r>
      <w:r w:rsidRPr="004F08EF">
        <w:rPr>
          <w:color w:val="000000" w:themeColor="text1"/>
          <w:sz w:val="22"/>
          <w:szCs w:val="22"/>
        </w:rPr>
        <w:t xml:space="preserve"> and </w:t>
      </w:r>
      <w:r w:rsidRPr="004F08EF">
        <w:rPr>
          <w:i/>
          <w:iCs/>
          <w:color w:val="000000" w:themeColor="text1"/>
          <w:sz w:val="22"/>
          <w:szCs w:val="22"/>
        </w:rPr>
        <w:t>linkages</w:t>
      </w:r>
      <w:r w:rsidRPr="004F08EF">
        <w:rPr>
          <w:color w:val="000000" w:themeColor="text1"/>
          <w:sz w:val="22"/>
          <w:szCs w:val="22"/>
        </w:rPr>
        <w:t xml:space="preserve"> in their interactions, across sectors and among all levels of govern</w:t>
      </w:r>
      <w:r w:rsidR="00AD5D37" w:rsidRPr="004F08EF">
        <w:rPr>
          <w:color w:val="000000" w:themeColor="text1"/>
          <w:sz w:val="22"/>
          <w:szCs w:val="22"/>
        </w:rPr>
        <w:t>ment</w:t>
      </w:r>
      <w:r w:rsidRPr="004F08EF">
        <w:rPr>
          <w:color w:val="000000" w:themeColor="text1"/>
          <w:sz w:val="22"/>
          <w:szCs w:val="22"/>
        </w:rPr>
        <w:t xml:space="preserve">.  To this end, there is an </w:t>
      </w:r>
      <w:r w:rsidRPr="004F08EF">
        <w:rPr>
          <w:sz w:val="22"/>
          <w:szCs w:val="22"/>
        </w:rPr>
        <w:t xml:space="preserve">emerging sentiment </w:t>
      </w:r>
      <w:r w:rsidR="005940CA" w:rsidRPr="004F08EF">
        <w:rPr>
          <w:sz w:val="22"/>
          <w:szCs w:val="22"/>
        </w:rPr>
        <w:t xml:space="preserve">among public health and global health experts, including WHO, </w:t>
      </w:r>
      <w:r w:rsidRPr="004F08EF">
        <w:rPr>
          <w:sz w:val="22"/>
          <w:szCs w:val="22"/>
        </w:rPr>
        <w:t xml:space="preserve">that there is an urgent need for alignment (including joint accountability) and re-orientation of global health processes/events to ensure achievement of SDG3 and health-related targets.  </w:t>
      </w:r>
    </w:p>
    <w:p w14:paraId="1C41D4F6" w14:textId="77777777" w:rsidR="004B1175" w:rsidRPr="004F08EF" w:rsidRDefault="004B1175" w:rsidP="00A77A0A">
      <w:pPr>
        <w:pStyle w:val="NoSpacing"/>
        <w:jc w:val="both"/>
        <w:rPr>
          <w:rFonts w:cstheme="minorHAnsi"/>
          <w:b/>
          <w:bCs/>
          <w:iCs/>
          <w:sz w:val="22"/>
          <w:szCs w:val="22"/>
        </w:rPr>
      </w:pPr>
    </w:p>
    <w:p w14:paraId="2493AB53" w14:textId="791BAACF" w:rsidR="001C0331" w:rsidRPr="004F08EF" w:rsidRDefault="001C0331" w:rsidP="00A77A0A">
      <w:pPr>
        <w:pStyle w:val="NoSpacing"/>
        <w:jc w:val="both"/>
        <w:rPr>
          <w:rFonts w:cstheme="minorHAnsi"/>
          <w:bCs/>
          <w:iCs/>
          <w:sz w:val="22"/>
          <w:szCs w:val="22"/>
        </w:rPr>
      </w:pPr>
      <w:r w:rsidRPr="004F08EF">
        <w:rPr>
          <w:rFonts w:cstheme="minorHAnsi"/>
          <w:bCs/>
          <w:iCs/>
          <w:sz w:val="22"/>
          <w:szCs w:val="22"/>
        </w:rPr>
        <w:t xml:space="preserve">In recent years health has had a growing presence at the UNGA and Security Council, as UNGA has recognized the role of health as both a sustainable development and foreign policy priority. Bringing specific health issues to the attention of heads of government and to the foreign policy community </w:t>
      </w:r>
      <w:r w:rsidR="003F12AA" w:rsidRPr="004F08EF">
        <w:rPr>
          <w:rFonts w:cstheme="minorHAnsi"/>
          <w:bCs/>
          <w:iCs/>
          <w:sz w:val="22"/>
          <w:szCs w:val="22"/>
        </w:rPr>
        <w:t>draws</w:t>
      </w:r>
      <w:r w:rsidR="003F12AA" w:rsidRPr="004F08EF">
        <w:rPr>
          <w:rFonts w:cstheme="minorHAnsi"/>
          <w:b/>
          <w:bCs/>
          <w:iCs/>
          <w:sz w:val="22"/>
          <w:szCs w:val="22"/>
        </w:rPr>
        <w:t xml:space="preserve"> </w:t>
      </w:r>
      <w:r w:rsidR="00B83310" w:rsidRPr="004F08EF">
        <w:rPr>
          <w:rFonts w:cstheme="minorHAnsi"/>
          <w:bCs/>
          <w:iCs/>
          <w:sz w:val="22"/>
          <w:szCs w:val="22"/>
        </w:rPr>
        <w:t xml:space="preserve">the </w:t>
      </w:r>
      <w:r w:rsidR="005F7DDA" w:rsidRPr="004F08EF">
        <w:rPr>
          <w:rFonts w:cstheme="minorHAnsi"/>
          <w:bCs/>
          <w:iCs/>
          <w:sz w:val="22"/>
          <w:szCs w:val="22"/>
        </w:rPr>
        <w:t>highest level</w:t>
      </w:r>
      <w:r w:rsidR="005F7DDA" w:rsidRPr="004F08EF">
        <w:rPr>
          <w:rFonts w:cstheme="minorHAnsi"/>
          <w:b/>
          <w:bCs/>
          <w:iCs/>
          <w:sz w:val="22"/>
          <w:szCs w:val="22"/>
        </w:rPr>
        <w:t xml:space="preserve"> </w:t>
      </w:r>
      <w:r w:rsidRPr="004F08EF">
        <w:rPr>
          <w:rFonts w:cstheme="minorHAnsi"/>
          <w:bCs/>
          <w:iCs/>
          <w:sz w:val="22"/>
          <w:szCs w:val="22"/>
        </w:rPr>
        <w:t xml:space="preserve">political attention to issues of global importance that are not amenable to technical solutions alone, and which require sustained political action </w:t>
      </w:r>
      <w:r w:rsidR="005940CA" w:rsidRPr="004F08EF">
        <w:rPr>
          <w:rFonts w:cstheme="minorHAnsi"/>
          <w:bCs/>
          <w:iCs/>
          <w:sz w:val="22"/>
          <w:szCs w:val="22"/>
        </w:rPr>
        <w:t xml:space="preserve">with a whole-of-government approach </w:t>
      </w:r>
      <w:r w:rsidRPr="004F08EF">
        <w:rPr>
          <w:rFonts w:cstheme="minorHAnsi"/>
          <w:bCs/>
          <w:iCs/>
          <w:sz w:val="22"/>
          <w:szCs w:val="22"/>
        </w:rPr>
        <w:t xml:space="preserve">and society. </w:t>
      </w:r>
    </w:p>
    <w:p w14:paraId="50206458" w14:textId="77777777" w:rsidR="001C0331" w:rsidRPr="004F08EF" w:rsidRDefault="001C0331" w:rsidP="00A77A0A">
      <w:pPr>
        <w:pStyle w:val="NoSpacing"/>
        <w:jc w:val="both"/>
        <w:rPr>
          <w:rFonts w:cstheme="minorHAnsi"/>
          <w:bCs/>
          <w:iCs/>
          <w:sz w:val="22"/>
          <w:szCs w:val="22"/>
        </w:rPr>
      </w:pPr>
    </w:p>
    <w:p w14:paraId="05B671F8" w14:textId="77777777" w:rsidR="00B83310" w:rsidRPr="004F08EF" w:rsidRDefault="005F7DDA" w:rsidP="00A77A0A">
      <w:pPr>
        <w:pStyle w:val="NoSpacing"/>
        <w:jc w:val="both"/>
        <w:rPr>
          <w:rFonts w:cstheme="minorHAnsi"/>
          <w:bCs/>
          <w:iCs/>
          <w:sz w:val="22"/>
          <w:szCs w:val="22"/>
        </w:rPr>
      </w:pPr>
      <w:r w:rsidRPr="004F08EF">
        <w:rPr>
          <w:rFonts w:cstheme="minorHAnsi"/>
          <w:bCs/>
          <w:iCs/>
          <w:sz w:val="22"/>
          <w:szCs w:val="22"/>
        </w:rPr>
        <w:t>However, space on the UNGA agenda is finite and the World Health Assembly</w:t>
      </w:r>
      <w:r w:rsidR="005940CA" w:rsidRPr="004F08EF">
        <w:rPr>
          <w:rFonts w:cstheme="minorHAnsi"/>
          <w:bCs/>
          <w:iCs/>
          <w:sz w:val="22"/>
          <w:szCs w:val="22"/>
        </w:rPr>
        <w:t xml:space="preserve"> (WHA)</w:t>
      </w:r>
      <w:r w:rsidRPr="004F08EF">
        <w:rPr>
          <w:rFonts w:cstheme="minorHAnsi"/>
          <w:bCs/>
          <w:iCs/>
          <w:sz w:val="22"/>
          <w:szCs w:val="22"/>
        </w:rPr>
        <w:t xml:space="preserve"> must remain the primary focus for global health governance and technical guidance. WHA, which takes place annually,</w:t>
      </w:r>
      <w:r w:rsidRPr="004F08EF">
        <w:rPr>
          <w:rFonts w:cstheme="minorHAnsi"/>
          <w:bCs/>
          <w:i/>
          <w:iCs/>
          <w:sz w:val="22"/>
          <w:szCs w:val="22"/>
        </w:rPr>
        <w:t xml:space="preserve"> </w:t>
      </w:r>
      <w:r w:rsidRPr="004F08EF">
        <w:rPr>
          <w:rFonts w:eastAsia="Times New Roman"/>
          <w:sz w:val="22"/>
          <w:szCs w:val="22"/>
        </w:rPr>
        <w:t xml:space="preserve">draws technical and political conclusions with the convergence of all health </w:t>
      </w:r>
      <w:r w:rsidR="00B83310" w:rsidRPr="004F08EF">
        <w:rPr>
          <w:rFonts w:eastAsia="Times New Roman"/>
          <w:sz w:val="22"/>
          <w:szCs w:val="22"/>
        </w:rPr>
        <w:t xml:space="preserve">sector </w:t>
      </w:r>
      <w:r w:rsidRPr="004F08EF">
        <w:rPr>
          <w:rFonts w:eastAsia="Times New Roman"/>
          <w:sz w:val="22"/>
          <w:szCs w:val="22"/>
        </w:rPr>
        <w:t xml:space="preserve">stakeholders.  Geneva maintains the technical health expertise needed to best guide health sector policy, norms, and standards, while New York’s added value </w:t>
      </w:r>
      <w:r w:rsidR="00B83310" w:rsidRPr="004F08EF">
        <w:rPr>
          <w:rFonts w:eastAsia="Times New Roman"/>
          <w:sz w:val="22"/>
          <w:szCs w:val="22"/>
        </w:rPr>
        <w:t>is in its capacity</w:t>
      </w:r>
      <w:r w:rsidRPr="004F08EF">
        <w:rPr>
          <w:rFonts w:eastAsia="Times New Roman"/>
          <w:sz w:val="22"/>
          <w:szCs w:val="22"/>
        </w:rPr>
        <w:t xml:space="preserve"> to </w:t>
      </w:r>
      <w:r w:rsidRPr="004F08EF">
        <w:rPr>
          <w:sz w:val="22"/>
          <w:szCs w:val="22"/>
        </w:rPr>
        <w:t>provide the political engagement necessary</w:t>
      </w:r>
      <w:r w:rsidR="00B83310" w:rsidRPr="004F08EF">
        <w:rPr>
          <w:sz w:val="22"/>
          <w:szCs w:val="22"/>
        </w:rPr>
        <w:t>, across sectors,</w:t>
      </w:r>
      <w:r w:rsidRPr="004F08EF">
        <w:rPr>
          <w:sz w:val="22"/>
          <w:szCs w:val="22"/>
        </w:rPr>
        <w:t xml:space="preserve"> to ensure buy-in to an overall agenda for action</w:t>
      </w:r>
      <w:r w:rsidR="00B83310" w:rsidRPr="004F08EF">
        <w:rPr>
          <w:sz w:val="22"/>
          <w:szCs w:val="22"/>
        </w:rPr>
        <w:t xml:space="preserve">. </w:t>
      </w:r>
      <w:r w:rsidR="00B83310" w:rsidRPr="004F08EF">
        <w:rPr>
          <w:rFonts w:cstheme="minorHAnsi"/>
          <w:bCs/>
          <w:iCs/>
          <w:sz w:val="22"/>
          <w:szCs w:val="22"/>
        </w:rPr>
        <w:t xml:space="preserve">This approach will help prevent duplication with Geneva, reduce fragmentation within the health sector and ultimately </w:t>
      </w:r>
      <w:r w:rsidR="002C6987" w:rsidRPr="004F08EF">
        <w:rPr>
          <w:rFonts w:cstheme="minorHAnsi"/>
          <w:bCs/>
          <w:iCs/>
          <w:sz w:val="22"/>
          <w:szCs w:val="22"/>
        </w:rPr>
        <w:t>lessen</w:t>
      </w:r>
      <w:r w:rsidR="00B83310" w:rsidRPr="004F08EF">
        <w:rPr>
          <w:rFonts w:cstheme="minorHAnsi"/>
          <w:bCs/>
          <w:iCs/>
          <w:sz w:val="22"/>
          <w:szCs w:val="22"/>
        </w:rPr>
        <w:t xml:space="preserve"> the risk of diluting high-level political attention to health priorities, which may result from an overabundance of health-related meetings at the UN. </w:t>
      </w:r>
    </w:p>
    <w:p w14:paraId="433EDD15" w14:textId="77777777" w:rsidR="001C0331" w:rsidRPr="004F08EF" w:rsidRDefault="001C0331" w:rsidP="00A77A0A">
      <w:pPr>
        <w:pStyle w:val="NoSpacing"/>
        <w:jc w:val="both"/>
        <w:rPr>
          <w:rFonts w:cstheme="minorHAnsi"/>
          <w:b/>
          <w:bCs/>
          <w:iCs/>
          <w:sz w:val="22"/>
          <w:szCs w:val="22"/>
        </w:rPr>
      </w:pPr>
    </w:p>
    <w:p w14:paraId="5DB44BFD" w14:textId="77777777" w:rsidR="00FF4166" w:rsidRPr="004F08EF" w:rsidRDefault="00FF4166" w:rsidP="00A77A0A">
      <w:pPr>
        <w:pStyle w:val="NoSpacing"/>
        <w:spacing w:after="60"/>
        <w:jc w:val="both"/>
        <w:rPr>
          <w:rFonts w:cstheme="minorHAnsi"/>
          <w:b/>
          <w:bCs/>
          <w:iCs/>
          <w:sz w:val="22"/>
          <w:szCs w:val="22"/>
        </w:rPr>
      </w:pPr>
      <w:r w:rsidRPr="004F08EF">
        <w:rPr>
          <w:rFonts w:cstheme="minorHAnsi"/>
          <w:b/>
          <w:bCs/>
          <w:iCs/>
          <w:sz w:val="22"/>
          <w:szCs w:val="22"/>
        </w:rPr>
        <w:t>Comprehensive review on the implementation of the Political Declaration on UHC in</w:t>
      </w:r>
      <w:r w:rsidR="00A77A0A" w:rsidRPr="004F08EF">
        <w:rPr>
          <w:rFonts w:cstheme="minorHAnsi"/>
          <w:b/>
          <w:bCs/>
          <w:iCs/>
          <w:sz w:val="22"/>
          <w:szCs w:val="22"/>
        </w:rPr>
        <w:t xml:space="preserve"> 2023</w:t>
      </w:r>
    </w:p>
    <w:p w14:paraId="68D40F2F" w14:textId="77777777" w:rsidR="00FF4166" w:rsidRPr="004F08EF" w:rsidRDefault="00B76900" w:rsidP="001D5209">
      <w:pPr>
        <w:jc w:val="both"/>
        <w:rPr>
          <w:rFonts w:eastAsia="Times New Roman"/>
        </w:rPr>
      </w:pPr>
      <w:r w:rsidRPr="004F08EF">
        <w:rPr>
          <w:rFonts w:eastAsia="Times New Roman"/>
        </w:rPr>
        <w:t>The approach taken by Member States to elaborate a high-level political declaration of commitments on UHC, inclusive of all major global health priorities</w:t>
      </w:r>
      <w:r w:rsidR="001D5209" w:rsidRPr="004F08EF">
        <w:rPr>
          <w:rFonts w:eastAsia="Times New Roman"/>
        </w:rPr>
        <w:t xml:space="preserve">, recognizes the need to address disease-, demographic-, </w:t>
      </w:r>
      <w:r w:rsidR="00201A7A" w:rsidRPr="004F08EF">
        <w:rPr>
          <w:rFonts w:eastAsia="Times New Roman"/>
        </w:rPr>
        <w:t xml:space="preserve">and </w:t>
      </w:r>
      <w:r w:rsidR="001D5209" w:rsidRPr="004F08EF">
        <w:rPr>
          <w:rFonts w:eastAsia="Times New Roman"/>
        </w:rPr>
        <w:t xml:space="preserve">context-specific dimensions of health </w:t>
      </w:r>
      <w:r w:rsidR="00201A7A" w:rsidRPr="004F08EF">
        <w:rPr>
          <w:rFonts w:eastAsia="Times New Roman"/>
        </w:rPr>
        <w:t>for</w:t>
      </w:r>
      <w:r w:rsidR="001D5209" w:rsidRPr="004F08EF">
        <w:rPr>
          <w:rFonts w:eastAsia="Times New Roman"/>
        </w:rPr>
        <w:t xml:space="preserve"> UHC, and demonstrates the will to unify critical elements of the health agenda, through the implementation of UHC policies.</w:t>
      </w:r>
    </w:p>
    <w:p w14:paraId="2A577BF5" w14:textId="3574BEA3" w:rsidR="00B76900" w:rsidRPr="004F08EF" w:rsidRDefault="00B76900" w:rsidP="001D5209">
      <w:pPr>
        <w:jc w:val="both"/>
        <w:rPr>
          <w:rFonts w:eastAsia="Times New Roman"/>
        </w:rPr>
      </w:pPr>
      <w:r w:rsidRPr="004F08EF">
        <w:t>In this regard, an</w:t>
      </w:r>
      <w:r w:rsidR="004B1175" w:rsidRPr="004F08EF">
        <w:t xml:space="preserve"> UNGA high-level meeting</w:t>
      </w:r>
      <w:r w:rsidRPr="004F08EF">
        <w:t xml:space="preserve"> to</w:t>
      </w:r>
      <w:r w:rsidR="004B1175" w:rsidRPr="004F08EF">
        <w:t xml:space="preserve"> </w:t>
      </w:r>
      <w:r w:rsidRPr="004F08EF">
        <w:t xml:space="preserve">comprehensively review the implementation of the political declaration on UHC affords a vital opportunity to re-think how to leverage the highest political forum to accelerate progress towards the achievement of universal health coverage by 2030. </w:t>
      </w:r>
      <w:r w:rsidR="005940CA" w:rsidRPr="004F08EF">
        <w:t xml:space="preserve"> By ensuring alignment in New York there is a greater opportunity to lift up the political prominence </w:t>
      </w:r>
      <w:r w:rsidR="00C35934" w:rsidRPr="004F08EF">
        <w:t xml:space="preserve">and high-level participation </w:t>
      </w:r>
      <w:r w:rsidR="005940CA" w:rsidRPr="004F08EF">
        <w:t>in 2023, while also protecting the relevance of WHA in Geneva</w:t>
      </w:r>
      <w:r w:rsidR="00C35934" w:rsidRPr="004F08EF">
        <w:t>.</w:t>
      </w:r>
    </w:p>
    <w:p w14:paraId="793B1F79" w14:textId="77777777" w:rsidR="004B1175" w:rsidRPr="004F08EF" w:rsidRDefault="001018EF" w:rsidP="00A77A0A">
      <w:pPr>
        <w:pStyle w:val="NoSpacing"/>
        <w:jc w:val="both"/>
        <w:rPr>
          <w:rFonts w:cstheme="minorHAnsi"/>
          <w:b/>
          <w:bCs/>
          <w:i/>
          <w:iCs/>
          <w:color w:val="FF0000"/>
          <w:sz w:val="22"/>
          <w:szCs w:val="22"/>
        </w:rPr>
      </w:pPr>
      <w:r w:rsidRPr="004F08EF">
        <w:rPr>
          <w:rFonts w:cstheme="minorHAnsi"/>
          <w:bCs/>
          <w:iCs/>
          <w:sz w:val="22"/>
          <w:szCs w:val="22"/>
        </w:rPr>
        <w:t>As an outcome of the political declaration</w:t>
      </w:r>
      <w:r w:rsidR="00B76900" w:rsidRPr="004F08EF">
        <w:rPr>
          <w:rFonts w:cstheme="minorHAnsi"/>
          <w:bCs/>
          <w:iCs/>
          <w:sz w:val="22"/>
          <w:szCs w:val="22"/>
        </w:rPr>
        <w:t>,</w:t>
      </w:r>
      <w:r w:rsidRPr="004F08EF">
        <w:rPr>
          <w:rFonts w:cstheme="minorHAnsi"/>
          <w:bCs/>
          <w:iCs/>
          <w:sz w:val="22"/>
          <w:szCs w:val="22"/>
        </w:rPr>
        <w:t xml:space="preserve"> a follow-up meeting in 2023 </w:t>
      </w:r>
      <w:r w:rsidR="0049294F" w:rsidRPr="004F08EF">
        <w:rPr>
          <w:rFonts w:cstheme="minorHAnsi"/>
          <w:bCs/>
          <w:iCs/>
          <w:sz w:val="22"/>
          <w:szCs w:val="22"/>
        </w:rPr>
        <w:t xml:space="preserve">is proposed </w:t>
      </w:r>
      <w:r w:rsidRPr="004F08EF">
        <w:rPr>
          <w:rFonts w:cstheme="minorHAnsi"/>
          <w:bCs/>
          <w:iCs/>
          <w:sz w:val="22"/>
          <w:szCs w:val="22"/>
        </w:rPr>
        <w:t xml:space="preserve">to align the health related processes of the </w:t>
      </w:r>
      <w:r w:rsidR="0049294F" w:rsidRPr="004F08EF">
        <w:rPr>
          <w:rFonts w:cstheme="minorHAnsi"/>
          <w:bCs/>
          <w:iCs/>
          <w:sz w:val="22"/>
          <w:szCs w:val="22"/>
        </w:rPr>
        <w:t xml:space="preserve">General Assembly – </w:t>
      </w:r>
      <w:r w:rsidR="001C0331" w:rsidRPr="004F08EF">
        <w:rPr>
          <w:rFonts w:cstheme="minorHAnsi"/>
          <w:bCs/>
          <w:iCs/>
          <w:sz w:val="22"/>
          <w:szCs w:val="22"/>
        </w:rPr>
        <w:t xml:space="preserve">particularly the </w:t>
      </w:r>
      <w:r w:rsidR="0049294F" w:rsidRPr="004F08EF">
        <w:rPr>
          <w:rFonts w:cstheme="minorHAnsi"/>
          <w:bCs/>
          <w:iCs/>
          <w:sz w:val="22"/>
          <w:szCs w:val="22"/>
        </w:rPr>
        <w:t>outcomes of</w:t>
      </w:r>
      <w:r w:rsidR="001C0331" w:rsidRPr="004F08EF">
        <w:rPr>
          <w:rFonts w:cstheme="minorHAnsi"/>
          <w:bCs/>
          <w:iCs/>
          <w:sz w:val="22"/>
          <w:szCs w:val="22"/>
        </w:rPr>
        <w:t xml:space="preserve"> the High-Level Meetings </w:t>
      </w:r>
      <w:r w:rsidRPr="004F08EF">
        <w:rPr>
          <w:rFonts w:cstheme="minorHAnsi"/>
          <w:bCs/>
          <w:iCs/>
          <w:sz w:val="22"/>
          <w:szCs w:val="22"/>
        </w:rPr>
        <w:t>o</w:t>
      </w:r>
      <w:r w:rsidR="001C0331" w:rsidRPr="004F08EF">
        <w:rPr>
          <w:rFonts w:cstheme="minorHAnsi"/>
          <w:bCs/>
          <w:iCs/>
          <w:sz w:val="22"/>
          <w:szCs w:val="22"/>
        </w:rPr>
        <w:t>n</w:t>
      </w:r>
      <w:r w:rsidR="0049294F" w:rsidRPr="004F08EF">
        <w:rPr>
          <w:rFonts w:cstheme="minorHAnsi"/>
          <w:bCs/>
          <w:iCs/>
          <w:sz w:val="22"/>
          <w:szCs w:val="22"/>
        </w:rPr>
        <w:t xml:space="preserve"> ending A</w:t>
      </w:r>
      <w:r w:rsidR="001C0331" w:rsidRPr="004F08EF">
        <w:rPr>
          <w:rFonts w:cstheme="minorHAnsi"/>
          <w:bCs/>
          <w:iCs/>
          <w:sz w:val="22"/>
          <w:szCs w:val="22"/>
        </w:rPr>
        <w:t xml:space="preserve">IDS, </w:t>
      </w:r>
      <w:r w:rsidR="0049294F" w:rsidRPr="004F08EF">
        <w:rPr>
          <w:rFonts w:cstheme="minorHAnsi"/>
          <w:bCs/>
          <w:iCs/>
          <w:sz w:val="22"/>
          <w:szCs w:val="22"/>
        </w:rPr>
        <w:t>ending t</w:t>
      </w:r>
      <w:r w:rsidRPr="004F08EF">
        <w:rPr>
          <w:rFonts w:cstheme="minorHAnsi"/>
          <w:bCs/>
          <w:iCs/>
          <w:sz w:val="22"/>
          <w:szCs w:val="22"/>
        </w:rPr>
        <w:t xml:space="preserve">uberculosis, </w:t>
      </w:r>
      <w:r w:rsidR="004B1175" w:rsidRPr="004F08EF">
        <w:rPr>
          <w:rFonts w:cstheme="minorHAnsi"/>
          <w:bCs/>
          <w:iCs/>
          <w:sz w:val="22"/>
          <w:szCs w:val="22"/>
        </w:rPr>
        <w:t xml:space="preserve">tackling antimicrobial resistance, and </w:t>
      </w:r>
      <w:r w:rsidR="0049294F" w:rsidRPr="004F08EF">
        <w:rPr>
          <w:rFonts w:cstheme="minorHAnsi"/>
          <w:bCs/>
          <w:iCs/>
          <w:sz w:val="22"/>
          <w:szCs w:val="22"/>
        </w:rPr>
        <w:t>the prevention and control of non-communicable diseases</w:t>
      </w:r>
      <w:r w:rsidR="004B1175" w:rsidRPr="004F08EF">
        <w:rPr>
          <w:rFonts w:cstheme="minorHAnsi"/>
          <w:bCs/>
          <w:iCs/>
          <w:sz w:val="22"/>
          <w:szCs w:val="22"/>
        </w:rPr>
        <w:t xml:space="preserve"> </w:t>
      </w:r>
      <w:r w:rsidR="0049294F" w:rsidRPr="004F08EF">
        <w:rPr>
          <w:rFonts w:cstheme="minorHAnsi"/>
          <w:bCs/>
          <w:iCs/>
          <w:sz w:val="22"/>
          <w:szCs w:val="22"/>
        </w:rPr>
        <w:t xml:space="preserve">– </w:t>
      </w:r>
      <w:r w:rsidR="00201A7A" w:rsidRPr="004F08EF">
        <w:rPr>
          <w:rFonts w:cstheme="minorHAnsi"/>
          <w:bCs/>
          <w:iCs/>
          <w:sz w:val="22"/>
          <w:szCs w:val="22"/>
        </w:rPr>
        <w:t xml:space="preserve">through their essential links with UHC </w:t>
      </w:r>
      <w:r w:rsidR="0078608B" w:rsidRPr="004F08EF">
        <w:rPr>
          <w:rFonts w:cstheme="minorHAnsi"/>
          <w:bCs/>
          <w:iCs/>
          <w:sz w:val="22"/>
          <w:szCs w:val="22"/>
        </w:rPr>
        <w:t xml:space="preserve">and </w:t>
      </w:r>
      <w:r w:rsidRPr="004F08EF">
        <w:rPr>
          <w:rFonts w:cstheme="minorHAnsi"/>
          <w:bCs/>
          <w:iCs/>
          <w:sz w:val="22"/>
          <w:szCs w:val="22"/>
        </w:rPr>
        <w:t>health for all</w:t>
      </w:r>
      <w:r w:rsidR="0078608B" w:rsidRPr="004F08EF">
        <w:rPr>
          <w:rFonts w:cstheme="minorHAnsi"/>
          <w:bCs/>
          <w:iCs/>
          <w:sz w:val="22"/>
          <w:szCs w:val="22"/>
        </w:rPr>
        <w:t xml:space="preserve"> by 2030</w:t>
      </w:r>
      <w:r w:rsidRPr="004F08EF">
        <w:rPr>
          <w:rFonts w:cstheme="minorHAnsi"/>
          <w:bCs/>
          <w:iCs/>
          <w:sz w:val="22"/>
          <w:szCs w:val="22"/>
        </w:rPr>
        <w:t xml:space="preserve">.  </w:t>
      </w:r>
    </w:p>
    <w:p w14:paraId="6C334B02" w14:textId="77777777" w:rsidR="00201A7A" w:rsidRPr="004F08EF" w:rsidRDefault="00201A7A" w:rsidP="00201A7A">
      <w:pPr>
        <w:pStyle w:val="NoSpacing"/>
        <w:jc w:val="both"/>
        <w:rPr>
          <w:rFonts w:cstheme="minorHAnsi"/>
          <w:bCs/>
          <w:iCs/>
          <w:sz w:val="22"/>
          <w:szCs w:val="22"/>
        </w:rPr>
      </w:pPr>
    </w:p>
    <w:p w14:paraId="06D174DB" w14:textId="797B31F0" w:rsidR="003F12AA" w:rsidRPr="004F08EF" w:rsidRDefault="004B1175" w:rsidP="00A77A0A">
      <w:pPr>
        <w:pStyle w:val="NoSpacing"/>
        <w:tabs>
          <w:tab w:val="left" w:pos="7035"/>
        </w:tabs>
        <w:jc w:val="both"/>
        <w:rPr>
          <w:sz w:val="22"/>
          <w:szCs w:val="22"/>
        </w:rPr>
      </w:pPr>
      <w:r w:rsidRPr="004F08EF">
        <w:rPr>
          <w:sz w:val="22"/>
          <w:szCs w:val="22"/>
        </w:rPr>
        <w:t>Such a meeting in 2023</w:t>
      </w:r>
      <w:r w:rsidR="00862A4D" w:rsidRPr="004F08EF">
        <w:rPr>
          <w:sz w:val="22"/>
          <w:szCs w:val="22"/>
        </w:rPr>
        <w:t xml:space="preserve"> </w:t>
      </w:r>
      <w:r w:rsidRPr="004F08EF">
        <w:rPr>
          <w:sz w:val="22"/>
          <w:szCs w:val="22"/>
        </w:rPr>
        <w:t xml:space="preserve">offers and ideal entry point given that 2023 is the mid-point for the 2030 agenda and an opportune time to measure progress; assess remaining gaps; and to take action to accelerate </w:t>
      </w:r>
      <w:r w:rsidRPr="004F08EF">
        <w:rPr>
          <w:sz w:val="22"/>
          <w:szCs w:val="22"/>
        </w:rPr>
        <w:lastRenderedPageBreak/>
        <w:t xml:space="preserve">progress. </w:t>
      </w:r>
      <w:r w:rsidR="00201A7A" w:rsidRPr="004F08EF">
        <w:rPr>
          <w:sz w:val="22"/>
          <w:szCs w:val="22"/>
        </w:rPr>
        <w:t xml:space="preserve">Additionally, </w:t>
      </w:r>
      <w:r w:rsidR="005940CA" w:rsidRPr="004F08EF">
        <w:rPr>
          <w:sz w:val="22"/>
          <w:szCs w:val="22"/>
        </w:rPr>
        <w:t>WHO’s 13</w:t>
      </w:r>
      <w:r w:rsidR="005940CA" w:rsidRPr="004F08EF">
        <w:rPr>
          <w:sz w:val="22"/>
          <w:szCs w:val="22"/>
          <w:vertAlign w:val="superscript"/>
        </w:rPr>
        <w:t>th</w:t>
      </w:r>
      <w:r w:rsidR="005940CA" w:rsidRPr="004F08EF">
        <w:rPr>
          <w:sz w:val="22"/>
          <w:szCs w:val="22"/>
        </w:rPr>
        <w:t xml:space="preserve"> General Programme of Work concludes in 2023 (approved by member states) and provide another stocktake opportunity of health-related SDGs. </w:t>
      </w:r>
    </w:p>
    <w:p w14:paraId="2C7CA30B" w14:textId="77777777" w:rsidR="00A77A0A" w:rsidRPr="004F08EF" w:rsidRDefault="00A77A0A" w:rsidP="00A77A0A">
      <w:pPr>
        <w:pStyle w:val="NoSpacing"/>
        <w:jc w:val="both"/>
        <w:rPr>
          <w:rFonts w:cstheme="minorHAnsi"/>
          <w:bCs/>
          <w:iCs/>
          <w:sz w:val="22"/>
          <w:szCs w:val="22"/>
        </w:rPr>
      </w:pPr>
    </w:p>
    <w:p w14:paraId="44879A4A" w14:textId="77777777" w:rsidR="00A77A0A" w:rsidRPr="004F08EF" w:rsidRDefault="00A77A0A" w:rsidP="00A77A0A">
      <w:pPr>
        <w:pStyle w:val="NoSpacing"/>
        <w:jc w:val="both"/>
        <w:rPr>
          <w:rFonts w:cstheme="minorHAnsi"/>
          <w:bCs/>
          <w:iCs/>
          <w:sz w:val="22"/>
          <w:szCs w:val="22"/>
        </w:rPr>
      </w:pPr>
      <w:r w:rsidRPr="004F08EF">
        <w:rPr>
          <w:rFonts w:cstheme="minorHAnsi"/>
          <w:bCs/>
          <w:iCs/>
          <w:sz w:val="22"/>
          <w:szCs w:val="22"/>
        </w:rPr>
        <w:t xml:space="preserve">A </w:t>
      </w:r>
      <w:r w:rsidR="00201A7A" w:rsidRPr="004F08EF">
        <w:rPr>
          <w:rFonts w:cstheme="minorHAnsi"/>
          <w:bCs/>
          <w:iCs/>
          <w:sz w:val="22"/>
          <w:szCs w:val="22"/>
        </w:rPr>
        <w:t>follow-up meeting</w:t>
      </w:r>
      <w:r w:rsidRPr="004F08EF">
        <w:rPr>
          <w:rFonts w:cstheme="minorHAnsi"/>
          <w:bCs/>
          <w:iCs/>
          <w:sz w:val="22"/>
          <w:szCs w:val="22"/>
        </w:rPr>
        <w:t xml:space="preserve"> in 2023 would not need to be constrained to a one day review during UNGA</w:t>
      </w:r>
      <w:r w:rsidR="005940CA" w:rsidRPr="004F08EF">
        <w:rPr>
          <w:rFonts w:cstheme="minorHAnsi"/>
          <w:bCs/>
          <w:iCs/>
          <w:sz w:val="22"/>
          <w:szCs w:val="22"/>
        </w:rPr>
        <w:t xml:space="preserve"> high-level week</w:t>
      </w:r>
      <w:r w:rsidRPr="004F08EF">
        <w:rPr>
          <w:rFonts w:cstheme="minorHAnsi"/>
          <w:bCs/>
          <w:iCs/>
          <w:sz w:val="22"/>
          <w:szCs w:val="22"/>
        </w:rPr>
        <w:t xml:space="preserve">, but could be held over several days, ensuring that priority issues, particularly those with </w:t>
      </w:r>
      <w:r w:rsidR="00C35934" w:rsidRPr="004F08EF">
        <w:rPr>
          <w:rFonts w:cstheme="minorHAnsi"/>
          <w:bCs/>
          <w:iCs/>
          <w:sz w:val="22"/>
          <w:szCs w:val="22"/>
        </w:rPr>
        <w:t xml:space="preserve">existing </w:t>
      </w:r>
      <w:r w:rsidRPr="004F08EF">
        <w:rPr>
          <w:rFonts w:cstheme="minorHAnsi"/>
          <w:bCs/>
          <w:iCs/>
          <w:sz w:val="22"/>
          <w:szCs w:val="22"/>
        </w:rPr>
        <w:t>mandated reviews by the General Assembly, are given the appropriate level of visibility</w:t>
      </w:r>
      <w:r w:rsidR="00C35934" w:rsidRPr="004F08EF">
        <w:rPr>
          <w:rFonts w:cstheme="minorHAnsi"/>
          <w:bCs/>
          <w:iCs/>
          <w:sz w:val="22"/>
          <w:szCs w:val="22"/>
        </w:rPr>
        <w:t xml:space="preserve"> and attention</w:t>
      </w:r>
      <w:r w:rsidRPr="004F08EF">
        <w:rPr>
          <w:rFonts w:cstheme="minorHAnsi"/>
          <w:bCs/>
          <w:iCs/>
          <w:sz w:val="22"/>
          <w:szCs w:val="22"/>
        </w:rPr>
        <w:t>.</w:t>
      </w:r>
      <w:r w:rsidR="00C35934" w:rsidRPr="004F08EF">
        <w:rPr>
          <w:rFonts w:cstheme="minorHAnsi"/>
          <w:bCs/>
          <w:iCs/>
          <w:sz w:val="22"/>
          <w:szCs w:val="22"/>
        </w:rPr>
        <w:t xml:space="preserve"> The design and format of the 2023 meeting should be determined by member states in the modalities resolution.</w:t>
      </w:r>
    </w:p>
    <w:p w14:paraId="2136D2B0" w14:textId="77777777" w:rsidR="001E2CB5" w:rsidRPr="004F08EF" w:rsidRDefault="001E2CB5" w:rsidP="000B5A89">
      <w:pPr>
        <w:pStyle w:val="NoSpacing"/>
        <w:rPr>
          <w:color w:val="FF0000"/>
          <w:sz w:val="22"/>
          <w:szCs w:val="22"/>
        </w:rPr>
      </w:pPr>
    </w:p>
    <w:p w14:paraId="4F3D808E" w14:textId="77777777" w:rsidR="00B76900" w:rsidRPr="004F08EF" w:rsidRDefault="00B76900" w:rsidP="00B76900">
      <w:pPr>
        <w:spacing w:after="60"/>
        <w:jc w:val="both"/>
        <w:rPr>
          <w:rFonts w:eastAsia="Times New Roman" w:cs="Tahoma"/>
          <w:b/>
          <w:color w:val="000000"/>
        </w:rPr>
      </w:pPr>
      <w:r w:rsidRPr="004F08EF">
        <w:rPr>
          <w:rFonts w:eastAsia="Times New Roman" w:cs="Tahoma"/>
          <w:b/>
          <w:color w:val="000000"/>
        </w:rPr>
        <w:t>Reporting Mechanisms</w:t>
      </w:r>
    </w:p>
    <w:p w14:paraId="0579A088" w14:textId="77777777" w:rsidR="00B76900" w:rsidRPr="004F08EF" w:rsidRDefault="00B76900" w:rsidP="00B76900">
      <w:pPr>
        <w:jc w:val="both"/>
        <w:rPr>
          <w:rFonts w:eastAsia="Times New Roman"/>
        </w:rPr>
      </w:pPr>
      <w:r w:rsidRPr="004F08EF">
        <w:rPr>
          <w:rFonts w:eastAsia="Times New Roman"/>
        </w:rPr>
        <w:t xml:space="preserve">A meeting in 2023, with a </w:t>
      </w:r>
      <w:r w:rsidR="00201A7A" w:rsidRPr="004F08EF">
        <w:rPr>
          <w:rFonts w:eastAsia="Times New Roman"/>
        </w:rPr>
        <w:t>progress report</w:t>
      </w:r>
      <w:r w:rsidRPr="004F08EF">
        <w:rPr>
          <w:rFonts w:eastAsia="Times New Roman"/>
        </w:rPr>
        <w:t xml:space="preserve"> in 2021 and report to inform the </w:t>
      </w:r>
      <w:r w:rsidR="00201A7A" w:rsidRPr="004F08EF">
        <w:rPr>
          <w:rFonts w:eastAsia="Times New Roman"/>
        </w:rPr>
        <w:t xml:space="preserve">high-level </w:t>
      </w:r>
      <w:r w:rsidRPr="004F08EF">
        <w:rPr>
          <w:rFonts w:eastAsia="Times New Roman"/>
        </w:rPr>
        <w:t xml:space="preserve">meeting in 2023, align with WHO’s existing monitoring reports on UHC, and enables sufficient time to allow for a meaningful analysis of achievements and gaps, as well as </w:t>
      </w:r>
      <w:r w:rsidR="00201A7A" w:rsidRPr="004F08EF">
        <w:rPr>
          <w:rFonts w:eastAsia="Times New Roman"/>
        </w:rPr>
        <w:t>to identify and implement</w:t>
      </w:r>
      <w:r w:rsidRPr="004F08EF">
        <w:rPr>
          <w:rFonts w:eastAsia="Times New Roman"/>
        </w:rPr>
        <w:t xml:space="preserve"> amendments and accelerators needed to achieve the 2030 targets. </w:t>
      </w:r>
    </w:p>
    <w:p w14:paraId="261025D3" w14:textId="77777777" w:rsidR="00B76900" w:rsidRPr="004F08EF" w:rsidRDefault="00B76900" w:rsidP="00B76900">
      <w:pPr>
        <w:jc w:val="both"/>
        <w:rPr>
          <w:rFonts w:eastAsia="Times New Roman" w:cs="Tahoma"/>
          <w:color w:val="000000"/>
        </w:rPr>
      </w:pPr>
      <w:r w:rsidRPr="004F08EF">
        <w:rPr>
          <w:rFonts w:eastAsia="Times New Roman" w:cs="Tahoma"/>
          <w:color w:val="000000"/>
        </w:rPr>
        <w:t xml:space="preserve">Follow up every two years will also be beneficial for informing stakeholders and financing sources such as the World Bank and GAVI, so that longer periods of time do not pass without updates on UHC. </w:t>
      </w:r>
    </w:p>
    <w:p w14:paraId="5487CDC4" w14:textId="77777777" w:rsidR="00A77A0A" w:rsidRPr="004F08EF" w:rsidRDefault="00A77A0A" w:rsidP="000B5A89">
      <w:pPr>
        <w:pStyle w:val="NoSpacing"/>
        <w:rPr>
          <w:color w:val="FF0000"/>
          <w:sz w:val="22"/>
          <w:szCs w:val="22"/>
        </w:rPr>
      </w:pPr>
    </w:p>
    <w:sectPr w:rsidR="00A77A0A" w:rsidRPr="004F08EF" w:rsidSect="00A77A0A">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6BBFF" w14:textId="77777777" w:rsidR="00BB53C7" w:rsidRDefault="00BB53C7" w:rsidP="006427DA">
      <w:pPr>
        <w:spacing w:after="0" w:line="240" w:lineRule="auto"/>
      </w:pPr>
      <w:r>
        <w:separator/>
      </w:r>
    </w:p>
  </w:endnote>
  <w:endnote w:type="continuationSeparator" w:id="0">
    <w:p w14:paraId="1FB1B4C6" w14:textId="77777777" w:rsidR="00BB53C7" w:rsidRDefault="00BB53C7" w:rsidP="00642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thelas Bold"/>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B2E33" w14:textId="77777777" w:rsidR="00BB53C7" w:rsidRDefault="00BB53C7" w:rsidP="006427DA">
      <w:pPr>
        <w:spacing w:after="0" w:line="240" w:lineRule="auto"/>
      </w:pPr>
      <w:r>
        <w:separator/>
      </w:r>
    </w:p>
  </w:footnote>
  <w:footnote w:type="continuationSeparator" w:id="0">
    <w:p w14:paraId="7C565AE0" w14:textId="77777777" w:rsidR="00BB53C7" w:rsidRDefault="00BB53C7" w:rsidP="006427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27021"/>
    <w:multiLevelType w:val="multilevel"/>
    <w:tmpl w:val="FDF8D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A10615"/>
    <w:multiLevelType w:val="multilevel"/>
    <w:tmpl w:val="FFDC6004"/>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204ACD"/>
    <w:multiLevelType w:val="multilevel"/>
    <w:tmpl w:val="BF6AF89A"/>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7F3857"/>
    <w:multiLevelType w:val="multilevel"/>
    <w:tmpl w:val="5BFE933A"/>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D4505CF"/>
    <w:multiLevelType w:val="hybridMultilevel"/>
    <w:tmpl w:val="070C9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F20C40"/>
    <w:multiLevelType w:val="hybridMultilevel"/>
    <w:tmpl w:val="323C9530"/>
    <w:lvl w:ilvl="0" w:tplc="D0529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8D4CF1"/>
    <w:multiLevelType w:val="hybridMultilevel"/>
    <w:tmpl w:val="2EEC9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31308A"/>
    <w:multiLevelType w:val="hybridMultilevel"/>
    <w:tmpl w:val="043E01B8"/>
    <w:lvl w:ilvl="0" w:tplc="585E712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C119DA"/>
    <w:multiLevelType w:val="multilevel"/>
    <w:tmpl w:val="CDFA7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AC13F55"/>
    <w:multiLevelType w:val="hybridMultilevel"/>
    <w:tmpl w:val="B818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DA40BA"/>
    <w:multiLevelType w:val="hybridMultilevel"/>
    <w:tmpl w:val="E164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0"/>
  </w:num>
  <w:num w:numId="5">
    <w:abstractNumId w:val="3"/>
  </w:num>
  <w:num w:numId="6">
    <w:abstractNumId w:val="1"/>
  </w:num>
  <w:num w:numId="7">
    <w:abstractNumId w:val="7"/>
  </w:num>
  <w:num w:numId="8">
    <w:abstractNumId w:val="5"/>
  </w:num>
  <w:num w:numId="9">
    <w:abstractNumId w:val="6"/>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38A"/>
    <w:rsid w:val="000B5A89"/>
    <w:rsid w:val="000E0A6A"/>
    <w:rsid w:val="000F7260"/>
    <w:rsid w:val="001018EF"/>
    <w:rsid w:val="00111910"/>
    <w:rsid w:val="00181B54"/>
    <w:rsid w:val="001908A8"/>
    <w:rsid w:val="001C0331"/>
    <w:rsid w:val="001D2A02"/>
    <w:rsid w:val="001D5209"/>
    <w:rsid w:val="001E2CB5"/>
    <w:rsid w:val="001F4C07"/>
    <w:rsid w:val="00201A7A"/>
    <w:rsid w:val="0029557F"/>
    <w:rsid w:val="002C6987"/>
    <w:rsid w:val="002E4437"/>
    <w:rsid w:val="002E7DBF"/>
    <w:rsid w:val="00301129"/>
    <w:rsid w:val="0030538A"/>
    <w:rsid w:val="00333FE4"/>
    <w:rsid w:val="00343EA1"/>
    <w:rsid w:val="003A5400"/>
    <w:rsid w:val="003F12AA"/>
    <w:rsid w:val="003F6B68"/>
    <w:rsid w:val="004030EE"/>
    <w:rsid w:val="004124DF"/>
    <w:rsid w:val="0049294F"/>
    <w:rsid w:val="004A40EE"/>
    <w:rsid w:val="004B1175"/>
    <w:rsid w:val="004C23CE"/>
    <w:rsid w:val="004F08EF"/>
    <w:rsid w:val="004F4ACB"/>
    <w:rsid w:val="00582276"/>
    <w:rsid w:val="005940CA"/>
    <w:rsid w:val="00595B61"/>
    <w:rsid w:val="00597900"/>
    <w:rsid w:val="005B3125"/>
    <w:rsid w:val="005B55C2"/>
    <w:rsid w:val="005F58EE"/>
    <w:rsid w:val="005F7DDA"/>
    <w:rsid w:val="00620C81"/>
    <w:rsid w:val="00642291"/>
    <w:rsid w:val="006427DA"/>
    <w:rsid w:val="006B2946"/>
    <w:rsid w:val="007151E7"/>
    <w:rsid w:val="00744922"/>
    <w:rsid w:val="00781D5D"/>
    <w:rsid w:val="00782972"/>
    <w:rsid w:val="0078608B"/>
    <w:rsid w:val="007A7A32"/>
    <w:rsid w:val="007B26B0"/>
    <w:rsid w:val="007C0B95"/>
    <w:rsid w:val="007D6DD0"/>
    <w:rsid w:val="007D7A1A"/>
    <w:rsid w:val="00816708"/>
    <w:rsid w:val="00862A4D"/>
    <w:rsid w:val="00866C3C"/>
    <w:rsid w:val="009B2387"/>
    <w:rsid w:val="00A01DDF"/>
    <w:rsid w:val="00A21D18"/>
    <w:rsid w:val="00A77A0A"/>
    <w:rsid w:val="00A97F82"/>
    <w:rsid w:val="00AB52C4"/>
    <w:rsid w:val="00AD5D37"/>
    <w:rsid w:val="00AF4229"/>
    <w:rsid w:val="00B56987"/>
    <w:rsid w:val="00B76900"/>
    <w:rsid w:val="00B83310"/>
    <w:rsid w:val="00BB53C7"/>
    <w:rsid w:val="00BF4532"/>
    <w:rsid w:val="00C03759"/>
    <w:rsid w:val="00C35934"/>
    <w:rsid w:val="00CA64C9"/>
    <w:rsid w:val="00D119D2"/>
    <w:rsid w:val="00D25116"/>
    <w:rsid w:val="00D50AF0"/>
    <w:rsid w:val="00D71109"/>
    <w:rsid w:val="00D83C1E"/>
    <w:rsid w:val="00DA237D"/>
    <w:rsid w:val="00DB693B"/>
    <w:rsid w:val="00DE0B31"/>
    <w:rsid w:val="00DE4401"/>
    <w:rsid w:val="00E4789D"/>
    <w:rsid w:val="00EF78B2"/>
    <w:rsid w:val="00F66E5D"/>
    <w:rsid w:val="00FF41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19C90"/>
  <w15:docId w15:val="{1616E832-603A-4367-9CB8-FD7E452B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0538A"/>
  </w:style>
  <w:style w:type="character" w:styleId="Hyperlink">
    <w:name w:val="Hyperlink"/>
    <w:basedOn w:val="DefaultParagraphFont"/>
    <w:uiPriority w:val="99"/>
    <w:semiHidden/>
    <w:unhideWhenUsed/>
    <w:rsid w:val="0030538A"/>
    <w:rPr>
      <w:color w:val="0000FF"/>
      <w:u w:val="single"/>
    </w:rPr>
  </w:style>
  <w:style w:type="paragraph" w:styleId="NoSpacing">
    <w:name w:val="No Spacing"/>
    <w:uiPriority w:val="1"/>
    <w:qFormat/>
    <w:rsid w:val="0030538A"/>
    <w:pPr>
      <w:spacing w:after="0" w:line="240" w:lineRule="auto"/>
    </w:pPr>
    <w:rPr>
      <w:sz w:val="24"/>
      <w:szCs w:val="24"/>
      <w:lang w:val="en-GB"/>
    </w:rPr>
  </w:style>
  <w:style w:type="paragraph" w:styleId="ListParagraph">
    <w:name w:val="List Paragraph"/>
    <w:basedOn w:val="Normal"/>
    <w:uiPriority w:val="34"/>
    <w:qFormat/>
    <w:rsid w:val="00D50AF0"/>
    <w:pPr>
      <w:spacing w:after="200" w:line="276" w:lineRule="auto"/>
      <w:ind w:left="720"/>
      <w:contextualSpacing/>
    </w:pPr>
    <w:rPr>
      <w:rFonts w:eastAsiaTheme="minorEastAsia"/>
      <w:lang w:val="en-GB" w:eastAsia="zh-CN"/>
    </w:rPr>
  </w:style>
  <w:style w:type="paragraph" w:styleId="Header">
    <w:name w:val="header"/>
    <w:basedOn w:val="Normal"/>
    <w:link w:val="HeaderChar"/>
    <w:uiPriority w:val="99"/>
    <w:unhideWhenUsed/>
    <w:rsid w:val="00642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7DA"/>
  </w:style>
  <w:style w:type="paragraph" w:styleId="Footer">
    <w:name w:val="footer"/>
    <w:basedOn w:val="Normal"/>
    <w:link w:val="FooterChar"/>
    <w:uiPriority w:val="99"/>
    <w:unhideWhenUsed/>
    <w:rsid w:val="00642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7DA"/>
  </w:style>
  <w:style w:type="paragraph" w:styleId="BalloonText">
    <w:name w:val="Balloon Text"/>
    <w:basedOn w:val="Normal"/>
    <w:link w:val="BalloonTextChar"/>
    <w:uiPriority w:val="99"/>
    <w:semiHidden/>
    <w:unhideWhenUsed/>
    <w:rsid w:val="003A5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400"/>
    <w:rPr>
      <w:rFonts w:ascii="Tahoma" w:hAnsi="Tahoma" w:cs="Tahoma"/>
      <w:sz w:val="16"/>
      <w:szCs w:val="16"/>
    </w:rPr>
  </w:style>
  <w:style w:type="character" w:styleId="CommentReference">
    <w:name w:val="annotation reference"/>
    <w:basedOn w:val="DefaultParagraphFont"/>
    <w:uiPriority w:val="99"/>
    <w:semiHidden/>
    <w:unhideWhenUsed/>
    <w:rsid w:val="00862A4D"/>
    <w:rPr>
      <w:sz w:val="16"/>
      <w:szCs w:val="16"/>
    </w:rPr>
  </w:style>
  <w:style w:type="paragraph" w:styleId="CommentText">
    <w:name w:val="annotation text"/>
    <w:basedOn w:val="Normal"/>
    <w:link w:val="CommentTextChar"/>
    <w:uiPriority w:val="99"/>
    <w:semiHidden/>
    <w:unhideWhenUsed/>
    <w:rsid w:val="00862A4D"/>
    <w:pPr>
      <w:spacing w:line="240" w:lineRule="auto"/>
    </w:pPr>
    <w:rPr>
      <w:sz w:val="20"/>
      <w:szCs w:val="20"/>
    </w:rPr>
  </w:style>
  <w:style w:type="character" w:customStyle="1" w:styleId="CommentTextChar">
    <w:name w:val="Comment Text Char"/>
    <w:basedOn w:val="DefaultParagraphFont"/>
    <w:link w:val="CommentText"/>
    <w:uiPriority w:val="99"/>
    <w:semiHidden/>
    <w:rsid w:val="00862A4D"/>
    <w:rPr>
      <w:sz w:val="20"/>
      <w:szCs w:val="20"/>
    </w:rPr>
  </w:style>
  <w:style w:type="paragraph" w:styleId="CommentSubject">
    <w:name w:val="annotation subject"/>
    <w:basedOn w:val="CommentText"/>
    <w:next w:val="CommentText"/>
    <w:link w:val="CommentSubjectChar"/>
    <w:uiPriority w:val="99"/>
    <w:semiHidden/>
    <w:unhideWhenUsed/>
    <w:rsid w:val="00862A4D"/>
    <w:rPr>
      <w:b/>
      <w:bCs/>
    </w:rPr>
  </w:style>
  <w:style w:type="character" w:customStyle="1" w:styleId="CommentSubjectChar">
    <w:name w:val="Comment Subject Char"/>
    <w:basedOn w:val="CommentTextChar"/>
    <w:link w:val="CommentSubject"/>
    <w:uiPriority w:val="99"/>
    <w:semiHidden/>
    <w:rsid w:val="00862A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12285">
      <w:bodyDiv w:val="1"/>
      <w:marLeft w:val="0"/>
      <w:marRight w:val="0"/>
      <w:marTop w:val="0"/>
      <w:marBottom w:val="0"/>
      <w:divBdr>
        <w:top w:val="none" w:sz="0" w:space="0" w:color="auto"/>
        <w:left w:val="none" w:sz="0" w:space="0" w:color="auto"/>
        <w:bottom w:val="none" w:sz="0" w:space="0" w:color="auto"/>
        <w:right w:val="none" w:sz="0" w:space="0" w:color="auto"/>
      </w:divBdr>
    </w:div>
    <w:div w:id="365298488">
      <w:bodyDiv w:val="1"/>
      <w:marLeft w:val="0"/>
      <w:marRight w:val="0"/>
      <w:marTop w:val="0"/>
      <w:marBottom w:val="0"/>
      <w:divBdr>
        <w:top w:val="none" w:sz="0" w:space="0" w:color="auto"/>
        <w:left w:val="none" w:sz="0" w:space="0" w:color="auto"/>
        <w:bottom w:val="none" w:sz="0" w:space="0" w:color="auto"/>
        <w:right w:val="none" w:sz="0" w:space="0" w:color="auto"/>
      </w:divBdr>
    </w:div>
    <w:div w:id="465201356">
      <w:bodyDiv w:val="1"/>
      <w:marLeft w:val="0"/>
      <w:marRight w:val="0"/>
      <w:marTop w:val="0"/>
      <w:marBottom w:val="0"/>
      <w:divBdr>
        <w:top w:val="none" w:sz="0" w:space="0" w:color="auto"/>
        <w:left w:val="none" w:sz="0" w:space="0" w:color="auto"/>
        <w:bottom w:val="none" w:sz="0" w:space="0" w:color="auto"/>
        <w:right w:val="none" w:sz="0" w:space="0" w:color="auto"/>
      </w:divBdr>
    </w:div>
    <w:div w:id="667097154">
      <w:bodyDiv w:val="1"/>
      <w:marLeft w:val="0"/>
      <w:marRight w:val="0"/>
      <w:marTop w:val="0"/>
      <w:marBottom w:val="0"/>
      <w:divBdr>
        <w:top w:val="none" w:sz="0" w:space="0" w:color="auto"/>
        <w:left w:val="none" w:sz="0" w:space="0" w:color="auto"/>
        <w:bottom w:val="none" w:sz="0" w:space="0" w:color="auto"/>
        <w:right w:val="none" w:sz="0" w:space="0" w:color="auto"/>
      </w:divBdr>
    </w:div>
    <w:div w:id="798960806">
      <w:bodyDiv w:val="1"/>
      <w:marLeft w:val="0"/>
      <w:marRight w:val="0"/>
      <w:marTop w:val="0"/>
      <w:marBottom w:val="0"/>
      <w:divBdr>
        <w:top w:val="none" w:sz="0" w:space="0" w:color="auto"/>
        <w:left w:val="none" w:sz="0" w:space="0" w:color="auto"/>
        <w:bottom w:val="none" w:sz="0" w:space="0" w:color="auto"/>
        <w:right w:val="none" w:sz="0" w:space="0" w:color="auto"/>
      </w:divBdr>
    </w:div>
    <w:div w:id="1364356516">
      <w:bodyDiv w:val="1"/>
      <w:marLeft w:val="0"/>
      <w:marRight w:val="0"/>
      <w:marTop w:val="0"/>
      <w:marBottom w:val="0"/>
      <w:divBdr>
        <w:top w:val="none" w:sz="0" w:space="0" w:color="auto"/>
        <w:left w:val="none" w:sz="0" w:space="0" w:color="auto"/>
        <w:bottom w:val="none" w:sz="0" w:space="0" w:color="auto"/>
        <w:right w:val="none" w:sz="0" w:space="0" w:color="auto"/>
      </w:divBdr>
      <w:divsChild>
        <w:div w:id="2066753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9193186">
              <w:marLeft w:val="0"/>
              <w:marRight w:val="0"/>
              <w:marTop w:val="0"/>
              <w:marBottom w:val="0"/>
              <w:divBdr>
                <w:top w:val="none" w:sz="0" w:space="0" w:color="auto"/>
                <w:left w:val="none" w:sz="0" w:space="0" w:color="auto"/>
                <w:bottom w:val="none" w:sz="0" w:space="0" w:color="auto"/>
                <w:right w:val="none" w:sz="0" w:space="0" w:color="auto"/>
              </w:divBdr>
              <w:divsChild>
                <w:div w:id="611713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704295">
                      <w:marLeft w:val="0"/>
                      <w:marRight w:val="0"/>
                      <w:marTop w:val="0"/>
                      <w:marBottom w:val="0"/>
                      <w:divBdr>
                        <w:top w:val="none" w:sz="0" w:space="0" w:color="auto"/>
                        <w:left w:val="none" w:sz="0" w:space="0" w:color="auto"/>
                        <w:bottom w:val="none" w:sz="0" w:space="0" w:color="auto"/>
                        <w:right w:val="none" w:sz="0" w:space="0" w:color="auto"/>
                      </w:divBdr>
                      <w:divsChild>
                        <w:div w:id="135533178">
                          <w:marLeft w:val="0"/>
                          <w:marRight w:val="0"/>
                          <w:marTop w:val="0"/>
                          <w:marBottom w:val="0"/>
                          <w:divBdr>
                            <w:top w:val="none" w:sz="0" w:space="0" w:color="auto"/>
                            <w:left w:val="none" w:sz="0" w:space="0" w:color="auto"/>
                            <w:bottom w:val="none" w:sz="0" w:space="0" w:color="auto"/>
                            <w:right w:val="none" w:sz="0" w:space="0" w:color="auto"/>
                          </w:divBdr>
                          <w:divsChild>
                            <w:div w:id="685786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372830">
                                  <w:marLeft w:val="0"/>
                                  <w:marRight w:val="0"/>
                                  <w:marTop w:val="0"/>
                                  <w:marBottom w:val="0"/>
                                  <w:divBdr>
                                    <w:top w:val="none" w:sz="0" w:space="0" w:color="auto"/>
                                    <w:left w:val="none" w:sz="0" w:space="0" w:color="auto"/>
                                    <w:bottom w:val="none" w:sz="0" w:space="0" w:color="auto"/>
                                    <w:right w:val="none" w:sz="0" w:space="0" w:color="auto"/>
                                  </w:divBdr>
                                  <w:divsChild>
                                    <w:div w:id="1399479765">
                                      <w:marLeft w:val="0"/>
                                      <w:marRight w:val="0"/>
                                      <w:marTop w:val="0"/>
                                      <w:marBottom w:val="0"/>
                                      <w:divBdr>
                                        <w:top w:val="none" w:sz="0" w:space="0" w:color="auto"/>
                                        <w:left w:val="none" w:sz="0" w:space="0" w:color="auto"/>
                                        <w:bottom w:val="none" w:sz="0" w:space="0" w:color="auto"/>
                                        <w:right w:val="none" w:sz="0" w:space="0" w:color="auto"/>
                                      </w:divBdr>
                                      <w:divsChild>
                                        <w:div w:id="965045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6210546">
                                              <w:marLeft w:val="0"/>
                                              <w:marRight w:val="0"/>
                                              <w:marTop w:val="0"/>
                                              <w:marBottom w:val="0"/>
                                              <w:divBdr>
                                                <w:top w:val="none" w:sz="0" w:space="0" w:color="auto"/>
                                                <w:left w:val="none" w:sz="0" w:space="0" w:color="auto"/>
                                                <w:bottom w:val="none" w:sz="0" w:space="0" w:color="auto"/>
                                                <w:right w:val="none" w:sz="0" w:space="0" w:color="auto"/>
                                              </w:divBdr>
                                              <w:divsChild>
                                                <w:div w:id="1518159407">
                                                  <w:marLeft w:val="0"/>
                                                  <w:marRight w:val="0"/>
                                                  <w:marTop w:val="0"/>
                                                  <w:marBottom w:val="0"/>
                                                  <w:divBdr>
                                                    <w:top w:val="none" w:sz="0" w:space="0" w:color="auto"/>
                                                    <w:left w:val="none" w:sz="0" w:space="0" w:color="auto"/>
                                                    <w:bottom w:val="none" w:sz="0" w:space="0" w:color="auto"/>
                                                    <w:right w:val="none" w:sz="0" w:space="0" w:color="auto"/>
                                                  </w:divBdr>
                                                  <w:divsChild>
                                                    <w:div w:id="1631284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193374">
                                                          <w:marLeft w:val="0"/>
                                                          <w:marRight w:val="0"/>
                                                          <w:marTop w:val="0"/>
                                                          <w:marBottom w:val="0"/>
                                                          <w:divBdr>
                                                            <w:top w:val="none" w:sz="0" w:space="0" w:color="auto"/>
                                                            <w:left w:val="none" w:sz="0" w:space="0" w:color="auto"/>
                                                            <w:bottom w:val="none" w:sz="0" w:space="0" w:color="auto"/>
                                                            <w:right w:val="none" w:sz="0" w:space="0" w:color="auto"/>
                                                          </w:divBdr>
                                                          <w:divsChild>
                                                            <w:div w:id="544872782">
                                                              <w:marLeft w:val="0"/>
                                                              <w:marRight w:val="0"/>
                                                              <w:marTop w:val="0"/>
                                                              <w:marBottom w:val="0"/>
                                                              <w:divBdr>
                                                                <w:top w:val="none" w:sz="0" w:space="0" w:color="auto"/>
                                                                <w:left w:val="none" w:sz="0" w:space="0" w:color="auto"/>
                                                                <w:bottom w:val="none" w:sz="0" w:space="0" w:color="auto"/>
                                                                <w:right w:val="none" w:sz="0" w:space="0" w:color="auto"/>
                                                              </w:divBdr>
                                                              <w:divsChild>
                                                                <w:div w:id="196814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3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74043710">
      <w:bodyDiv w:val="1"/>
      <w:marLeft w:val="0"/>
      <w:marRight w:val="0"/>
      <w:marTop w:val="0"/>
      <w:marBottom w:val="0"/>
      <w:divBdr>
        <w:top w:val="none" w:sz="0" w:space="0" w:color="auto"/>
        <w:left w:val="none" w:sz="0" w:space="0" w:color="auto"/>
        <w:bottom w:val="none" w:sz="0" w:space="0" w:color="auto"/>
        <w:right w:val="none" w:sz="0" w:space="0" w:color="auto"/>
      </w:divBdr>
    </w:div>
    <w:div w:id="1690066323">
      <w:bodyDiv w:val="1"/>
      <w:marLeft w:val="0"/>
      <w:marRight w:val="0"/>
      <w:marTop w:val="0"/>
      <w:marBottom w:val="0"/>
      <w:divBdr>
        <w:top w:val="none" w:sz="0" w:space="0" w:color="auto"/>
        <w:left w:val="none" w:sz="0" w:space="0" w:color="auto"/>
        <w:bottom w:val="none" w:sz="0" w:space="0" w:color="auto"/>
        <w:right w:val="none" w:sz="0" w:space="0" w:color="auto"/>
      </w:divBdr>
    </w:div>
    <w:div w:id="1870410328">
      <w:bodyDiv w:val="1"/>
      <w:marLeft w:val="0"/>
      <w:marRight w:val="0"/>
      <w:marTop w:val="0"/>
      <w:marBottom w:val="0"/>
      <w:divBdr>
        <w:top w:val="none" w:sz="0" w:space="0" w:color="auto"/>
        <w:left w:val="none" w:sz="0" w:space="0" w:color="auto"/>
        <w:bottom w:val="none" w:sz="0" w:space="0" w:color="auto"/>
        <w:right w:val="none" w:sz="0" w:space="0" w:color="auto"/>
      </w:divBdr>
    </w:div>
    <w:div w:id="199171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2D856-2BB5-40AF-AB1E-4EB65D143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SIMÃO, Mariângela</dc:creator>
  <cp:lastModifiedBy>Desktop16</cp:lastModifiedBy>
  <cp:revision>2</cp:revision>
  <cp:lastPrinted>2019-07-11T13:45:00Z</cp:lastPrinted>
  <dcterms:created xsi:type="dcterms:W3CDTF">2019-07-12T14:22:00Z</dcterms:created>
  <dcterms:modified xsi:type="dcterms:W3CDTF">2019-07-12T14:22:00Z</dcterms:modified>
</cp:coreProperties>
</file>